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2F" w:rsidRPr="007A5FAC" w:rsidRDefault="007A5FAC" w:rsidP="007A5FAC">
      <w:bookmarkStart w:id="0" w:name="_GoBack"/>
      <w:bookmarkEnd w:id="0"/>
      <w:r w:rsidRPr="007A5FAC">
        <w:rPr>
          <w:lang w:val="en-US"/>
        </w:rPr>
        <w:t>Trendovi u izradi štamparskih formi za ofset štampu</w:t>
      </w:r>
    </w:p>
    <w:p w:rsidR="00D21C2F" w:rsidRPr="007A5FAC" w:rsidRDefault="00D21C2F" w:rsidP="007A5FAC">
      <w:pPr>
        <w:rPr>
          <w:lang w:val="en-US"/>
        </w:rPr>
      </w:pPr>
      <w:r w:rsidRPr="007A5FAC">
        <w:rPr>
          <w:lang w:val="en-US"/>
        </w:rPr>
        <w:t>Predrag Živković, Slobod</w:t>
      </w:r>
      <w:r w:rsidR="0096411C" w:rsidRPr="007A5FAC">
        <w:rPr>
          <w:lang w:val="en-US"/>
        </w:rPr>
        <w:t>a</w:t>
      </w:r>
      <w:r w:rsidRPr="007A5FAC">
        <w:rPr>
          <w:lang w:val="en-US"/>
        </w:rPr>
        <w:t>n Jovanović</w:t>
      </w:r>
    </w:p>
    <w:p w:rsidR="00D21C2F" w:rsidRPr="007A5FAC" w:rsidRDefault="00D21C2F" w:rsidP="007A5FAC">
      <w:r w:rsidRPr="007A5FAC">
        <w:t>Tehnološko-metalurški fakultet, 11120 Beograd, Karnegijeva 4</w:t>
      </w:r>
    </w:p>
    <w:p w:rsidR="00D21C2F" w:rsidRPr="007A5FAC" w:rsidRDefault="006F454E" w:rsidP="007A5FAC">
      <w:pPr>
        <w:rPr>
          <w:szCs w:val="20"/>
        </w:rPr>
      </w:pPr>
      <w:r w:rsidRPr="007A5FAC">
        <w:rPr>
          <w:szCs w:val="20"/>
        </w:rPr>
        <w:t xml:space="preserve">Izvod: </w:t>
      </w:r>
      <w:r w:rsidR="00D21C2F" w:rsidRPr="007A5FAC">
        <w:rPr>
          <w:szCs w:val="20"/>
        </w:rPr>
        <w:t xml:space="preserve">U radu su prikazani novi tehnološki postupci u </w:t>
      </w:r>
      <w:r w:rsidR="006C2227" w:rsidRPr="007A5FAC">
        <w:rPr>
          <w:szCs w:val="20"/>
        </w:rPr>
        <w:t>izradi štamparskih fo</w:t>
      </w:r>
      <w:r w:rsidR="0019371D" w:rsidRPr="007A5FAC">
        <w:rPr>
          <w:szCs w:val="20"/>
        </w:rPr>
        <w:t>r</w:t>
      </w:r>
      <w:r w:rsidR="006C2227" w:rsidRPr="007A5FAC">
        <w:rPr>
          <w:szCs w:val="20"/>
        </w:rPr>
        <w:t>mi za ofset</w:t>
      </w:r>
      <w:r w:rsidR="0019371D" w:rsidRPr="007A5FAC">
        <w:rPr>
          <w:szCs w:val="20"/>
        </w:rPr>
        <w:t xml:space="preserve"> </w:t>
      </w:r>
      <w:r w:rsidR="006C2227" w:rsidRPr="007A5FAC">
        <w:rPr>
          <w:szCs w:val="20"/>
        </w:rPr>
        <w:t>štampu</w:t>
      </w:r>
      <w:r w:rsidR="006A4027" w:rsidRPr="007A5FAC">
        <w:rPr>
          <w:szCs w:val="20"/>
        </w:rPr>
        <w:t>, novi materijali za izradu ofset ploča i nove tehnologije rastriranja.</w:t>
      </w:r>
    </w:p>
    <w:p w:rsidR="00FC7176" w:rsidRPr="007A5FAC" w:rsidRDefault="00FC7176" w:rsidP="007A5FAC">
      <w:pPr>
        <w:rPr>
          <w:szCs w:val="20"/>
        </w:rPr>
      </w:pPr>
      <w:r w:rsidRPr="007A5FAC">
        <w:rPr>
          <w:szCs w:val="20"/>
        </w:rPr>
        <w:t>Ključne reči: CTP, termalne ofset ploče, probni otisak</w:t>
      </w:r>
    </w:p>
    <w:p w:rsidR="00893D2D" w:rsidRPr="007A5FAC" w:rsidRDefault="00893D2D" w:rsidP="007A5FAC">
      <w:r w:rsidRPr="007A5FAC">
        <w:t xml:space="preserve">1. </w:t>
      </w:r>
      <w:r w:rsidR="007A5FAC" w:rsidRPr="007A5FAC">
        <w:t>Novi tipovi ploča za ctp sisteme</w:t>
      </w:r>
    </w:p>
    <w:p w:rsidR="002A06DA" w:rsidRPr="007A5FAC" w:rsidRDefault="002A06DA" w:rsidP="007A5FAC">
      <w:r w:rsidRPr="007A5FAC">
        <w:t>U oblasti izrade štamparskih formi za ofs</w:t>
      </w:r>
      <w:r w:rsidR="00C82663" w:rsidRPr="007A5FAC">
        <w:t>e</w:t>
      </w:r>
      <w:r w:rsidRPr="007A5FAC">
        <w:t>t štampu, danas je apsolutno dominantan postupak direktnog osvetljavanja ofset p</w:t>
      </w:r>
      <w:r w:rsidR="00F63C7B" w:rsidRPr="007A5FAC">
        <w:t>l</w:t>
      </w:r>
      <w:r w:rsidRPr="007A5FAC">
        <w:t>oča (Computer-to-Plate, CTP)</w:t>
      </w:r>
      <w:r w:rsidR="00C82663" w:rsidRPr="007A5FAC">
        <w:t>, koji potiskuje klasičan postupak izrade štamparskih formi kopiranjem filma na ofset ploču.</w:t>
      </w:r>
      <w:r w:rsidRPr="007A5FAC">
        <w:t xml:space="preserve"> Od većeg broja </w:t>
      </w:r>
      <w:r w:rsidR="00C82663" w:rsidRPr="007A5FAC">
        <w:t xml:space="preserve">CTP </w:t>
      </w:r>
      <w:r w:rsidRPr="007A5FAC">
        <w:t>tehnologija</w:t>
      </w:r>
      <w:r w:rsidR="00640FCD" w:rsidRPr="007A5FAC">
        <w:t>,</w:t>
      </w:r>
      <w:r w:rsidRPr="007A5FAC">
        <w:t xml:space="preserve"> koje su se pojavile u poslednjih desetak godina, u praksi su se potvrdile i postale široko rasprostranjenje</w:t>
      </w:r>
      <w:r w:rsidR="00640FCD" w:rsidRPr="007A5FAC">
        <w:t xml:space="preserve"> sledeće tri grupe, gledano prema načinu osvetljavanja</w:t>
      </w:r>
      <w:r w:rsidRPr="007A5FAC">
        <w:t>:</w:t>
      </w:r>
    </w:p>
    <w:p w:rsidR="002A2EF5" w:rsidRPr="007A5FAC" w:rsidRDefault="002A2EF5" w:rsidP="007A5FAC">
      <w:r w:rsidRPr="007A5FAC">
        <w:t>- sa plavo-ljubičastom (violet) laserskom diodom,</w:t>
      </w:r>
    </w:p>
    <w:p w:rsidR="002A06DA" w:rsidRPr="007A5FAC" w:rsidRDefault="002A06DA" w:rsidP="007A5FAC">
      <w:r w:rsidRPr="007A5FAC">
        <w:t>- termalna</w:t>
      </w:r>
      <w:r w:rsidR="002A2EF5" w:rsidRPr="007A5FAC">
        <w:t xml:space="preserve"> i</w:t>
      </w:r>
      <w:r w:rsidR="003E1EE0" w:rsidRPr="007A5FAC">
        <w:t xml:space="preserve"> </w:t>
      </w:r>
    </w:p>
    <w:p w:rsidR="002A06DA" w:rsidRPr="007A5FAC" w:rsidRDefault="002A06DA" w:rsidP="007A5FAC">
      <w:r w:rsidRPr="007A5FAC">
        <w:t xml:space="preserve">- UV tehnologija. </w:t>
      </w:r>
    </w:p>
    <w:p w:rsidR="00FB30D8" w:rsidRPr="007A5FAC" w:rsidRDefault="00FB30D8" w:rsidP="007A5FAC">
      <w:r w:rsidRPr="007A5FAC">
        <w:t>CTP tehnologija je dominantan postupak izrade štamparske forme u svim segmentima ofset grafičke proizvodnje: od formata B3 do veoma velikih formata, od kvaliteta pogodnog za novinsku štampu sa maksimalnom linijaturom rastera 60 l/cm, do najfinijih frekventno modulisanih rastera veličine 10 mikrona ili konvencionalnog rastera linijature 80 l/cm.</w:t>
      </w:r>
    </w:p>
    <w:p w:rsidR="002A2EF5" w:rsidRPr="007A5FAC" w:rsidRDefault="00514F40" w:rsidP="007A5FAC">
      <w:r w:rsidRPr="007A5FAC">
        <w:t>Jedno od osnovnih obeležja CTP tehnologije u ofset štampi jeste mnoštvo postupaka i sistema koji su komercijano dostupni ili su u najavi od strane proizvođača. Ovo dovodi do nesigurnosti kod potencijalnih korisnika i zahteva pažljivu analizu prilikom opredeljivanja za određenu tehnologiju.</w:t>
      </w:r>
      <w:r w:rsidR="002A2EF5" w:rsidRPr="007A5FAC">
        <w:t xml:space="preserve"> Prva dilema jeste: termalna ili violet tehnologija. </w:t>
      </w:r>
    </w:p>
    <w:p w:rsidR="002A2EF5" w:rsidRPr="007A5FAC" w:rsidRDefault="002A2EF5" w:rsidP="007A5FAC">
      <w:r w:rsidRPr="007A5FAC">
        <w:t xml:space="preserve">U slučaju violet tehnologije, postoje dve grupe ofset ploča: polimerne i na osnovi srebrohalogenida (slika 1). </w:t>
      </w:r>
    </w:p>
    <w:p w:rsidR="002A7BB5" w:rsidRDefault="002A7BB5" w:rsidP="007A5FAC"/>
    <w:p w:rsidR="005E5032" w:rsidRPr="007A5FAC" w:rsidRDefault="005E5032" w:rsidP="007A5FAC">
      <w:r w:rsidRPr="007A5FAC">
        <w:t>Slika 1 – Ofset ploče za primenu u violet CTP sistemima: a) polimerne; b) srebro-halogenidne ploče [1]</w:t>
      </w:r>
    </w:p>
    <w:p w:rsidR="00D97BF1" w:rsidRPr="007A5FAC" w:rsidRDefault="00D97BF1" w:rsidP="007A5FAC">
      <w:r w:rsidRPr="007A5FAC">
        <w:t>1.1 Violet sistemi</w:t>
      </w:r>
    </w:p>
    <w:p w:rsidR="00222927" w:rsidRPr="007A5FAC" w:rsidRDefault="00222927" w:rsidP="007A5FAC">
      <w:r w:rsidRPr="007A5FAC">
        <w:t>Me</w:t>
      </w:r>
      <w:r w:rsidR="003F1B34" w:rsidRPr="007A5FAC">
        <w:t>đ</w:t>
      </w:r>
      <w:r w:rsidRPr="007A5FAC">
        <w:t>u najpoznatijim poroizvođačima polimernih ploča za violet CTP sisteme su Agfa (Ozasol), Fujifilm (Brillia LP-N)</w:t>
      </w:r>
      <w:r w:rsidR="003F1B34" w:rsidRPr="007A5FAC">
        <w:t xml:space="preserve"> i Mitsubishi Chemicals (Diamond). Najvažniji i do skora jedini prozvođač srebrohalegenidnih ofset ploča bila je Agfa (Silverlith). Pored Agfe, </w:t>
      </w:r>
      <w:r w:rsidR="005540FA" w:rsidRPr="007A5FAC">
        <w:t xml:space="preserve">od značajnijih proizvođača </w:t>
      </w:r>
      <w:r w:rsidR="003F1B34" w:rsidRPr="007A5FAC">
        <w:t xml:space="preserve">ovaj tip </w:t>
      </w:r>
      <w:r w:rsidR="005540FA" w:rsidRPr="007A5FAC">
        <w:t>p</w:t>
      </w:r>
      <w:r w:rsidR="003F1B34" w:rsidRPr="007A5FAC">
        <w:t>loča proizvodi i Mitsubishi Paper Mills (SilverDigiplate)</w:t>
      </w:r>
      <w:r w:rsidR="005540FA" w:rsidRPr="007A5FAC">
        <w:t>.</w:t>
      </w:r>
    </w:p>
    <w:p w:rsidR="00D97BF1" w:rsidRPr="007A5FAC" w:rsidRDefault="00D97BF1" w:rsidP="007A5FAC">
      <w:r w:rsidRPr="007A5FAC">
        <w:t>1.2 Termalni sistemi</w:t>
      </w:r>
    </w:p>
    <w:p w:rsidR="00514F40" w:rsidRPr="007A5FAC" w:rsidRDefault="005540FA" w:rsidP="007A5FAC">
      <w:r w:rsidRPr="007A5FAC">
        <w:lastRenderedPageBreak/>
        <w:t xml:space="preserve">Za razliku od situacije na polju violet tehnologije, ponuda ofset ploča za termalne sisteme je veoma raznolika. </w:t>
      </w:r>
      <w:r w:rsidR="00514F40" w:rsidRPr="007A5FAC">
        <w:t>Kao ilustracija raznolikosti</w:t>
      </w:r>
      <w:r w:rsidRPr="007A5FAC">
        <w:t>,</w:t>
      </w:r>
      <w:r w:rsidR="00514F40" w:rsidRPr="007A5FAC">
        <w:t xml:space="preserve"> </w:t>
      </w:r>
      <w:r w:rsidR="006F454E" w:rsidRPr="007A5FAC">
        <w:t xml:space="preserve">može se reći da danas postoji veliki broj proizvođača i tehnologija </w:t>
      </w:r>
      <w:r w:rsidR="00514F40" w:rsidRPr="007A5FAC">
        <w:t>ofset ploča namenjenih termalnom osvetljavanju.</w:t>
      </w:r>
    </w:p>
    <w:p w:rsidR="00D97BF1" w:rsidRPr="007A5FAC" w:rsidRDefault="00D97BF1" w:rsidP="007A5FAC">
      <w:r w:rsidRPr="007A5FAC">
        <w:t>1.3 Sistemi bez procesiranja</w:t>
      </w:r>
    </w:p>
    <w:p w:rsidR="008742E1" w:rsidRPr="007A5FAC" w:rsidRDefault="00802921" w:rsidP="007A5FAC">
      <w:r w:rsidRPr="007A5FAC">
        <w:t>U oblasti ter</w:t>
      </w:r>
      <w:r w:rsidR="00E97455" w:rsidRPr="007A5FAC">
        <w:t>m</w:t>
      </w:r>
      <w:r w:rsidRPr="007A5FAC">
        <w:t xml:space="preserve">alne </w:t>
      </w:r>
      <w:r w:rsidR="00E97455" w:rsidRPr="007A5FAC">
        <w:t xml:space="preserve">i UV </w:t>
      </w:r>
      <w:r w:rsidRPr="007A5FAC">
        <w:t xml:space="preserve">tehnologije pojavilo se nekoliko varijanti </w:t>
      </w:r>
      <w:r w:rsidR="0096411C" w:rsidRPr="007A5FAC">
        <w:t>sistema kod kojih nije potrebna hemijska obrada (razvijanje) osvetljenih ofset ploča</w:t>
      </w:r>
      <w:r w:rsidRPr="007A5FAC">
        <w:t xml:space="preserve">. </w:t>
      </w:r>
      <w:r w:rsidR="008742E1" w:rsidRPr="007A5FAC">
        <w:t xml:space="preserve">Bez obzira što se na ploču osvetljavaju digitalne informacije, ceo proces koji se zasniva na hemijskoj obradi – razvijanju, nije digitalan, jer na konačnu informaciju zapisanu na štamparskoj formi utiče postupak koji karakterišu analogne veličine: temperatura, koncentracija, trajanje </w:t>
      </w:r>
      <w:r w:rsidR="00F63C7B" w:rsidRPr="007A5FAC">
        <w:t xml:space="preserve">i hidrodinamički </w:t>
      </w:r>
      <w:r w:rsidR="008742E1" w:rsidRPr="007A5FAC">
        <w:t>faktor</w:t>
      </w:r>
      <w:r w:rsidR="00F63C7B" w:rsidRPr="007A5FAC">
        <w:t>i</w:t>
      </w:r>
      <w:r w:rsidR="008742E1" w:rsidRPr="007A5FAC">
        <w:t xml:space="preserve">. Da bi postupak izrade štamparske forme u potpunosti bio digitalan, </w:t>
      </w:r>
      <w:r w:rsidR="00BA3355" w:rsidRPr="007A5FAC">
        <w:t>potrebno je izbaciti analogne veličine iz procesa. Jedan od najizrazitijih trendova u ob</w:t>
      </w:r>
      <w:r w:rsidR="008742E1" w:rsidRPr="007A5FAC">
        <w:t>l</w:t>
      </w:r>
      <w:r w:rsidR="00BA3355" w:rsidRPr="007A5FAC">
        <w:t>a</w:t>
      </w:r>
      <w:r w:rsidR="008742E1" w:rsidRPr="007A5FAC">
        <w:t>sti izrade štamparskih formi za ofset jeste uvođenje ploča koje se ispiraju vodom (poludigitalne), ili uopšte ne zahtevaju obradu posle osvetljavanja (digitalne).</w:t>
      </w:r>
      <w:r w:rsidR="002F7E15" w:rsidRPr="007A5FAC">
        <w:t xml:space="preserve"> Tako, na primer, ofset ploče koje se posle termalnog osvetljavanja obrađuju ablativnim postupkom predstavljaju primer poludigitalnih i digitalnih ploča.</w:t>
      </w:r>
    </w:p>
    <w:p w:rsidR="002F7E15" w:rsidRPr="007A5FAC" w:rsidRDefault="002F7E15" w:rsidP="007A5FAC">
      <w:r w:rsidRPr="007A5FAC">
        <w:t>A</w:t>
      </w:r>
      <w:r w:rsidR="00802921" w:rsidRPr="007A5FAC">
        <w:t>merička firma Presstek na sajmovima demonstrira termalne ofset ploče za konvencionalni ofset, koje se razvijaju (ispiraju) običnom vodom</w:t>
      </w:r>
      <w:r w:rsidR="00AC6063" w:rsidRPr="007A5FAC">
        <w:t xml:space="preserve"> (komercijalni naziv A</w:t>
      </w:r>
      <w:r w:rsidR="00651484" w:rsidRPr="007A5FAC">
        <w:t>nthem</w:t>
      </w:r>
      <w:r w:rsidR="00AC6063" w:rsidRPr="007A5FAC">
        <w:t>)</w:t>
      </w:r>
      <w:r w:rsidR="00802921" w:rsidRPr="007A5FAC">
        <w:t>, ili ofset ploče koje su p</w:t>
      </w:r>
      <w:r w:rsidR="0096411C" w:rsidRPr="007A5FAC">
        <w:t>o</w:t>
      </w:r>
      <w:r w:rsidR="00802921" w:rsidRPr="007A5FAC">
        <w:t>sle osvetljavanja spremne za montiranje na štamparsku mašinu, bez ikakve dorade</w:t>
      </w:r>
      <w:r w:rsidR="00AC6063" w:rsidRPr="007A5FAC">
        <w:t xml:space="preserve"> (Applause)</w:t>
      </w:r>
      <w:r w:rsidR="00802921" w:rsidRPr="007A5FAC">
        <w:t>.</w:t>
      </w:r>
    </w:p>
    <w:p w:rsidR="006B2D03" w:rsidRPr="007A5FAC" w:rsidRDefault="0096411C" w:rsidP="007A5FAC">
      <w:r w:rsidRPr="007A5FAC">
        <w:t>Na poslednjoj DRUPI (2004) prikazani su sistemi</w:t>
      </w:r>
      <w:r w:rsidR="006C2227" w:rsidRPr="007A5FAC">
        <w:t xml:space="preserve"> </w:t>
      </w:r>
      <w:r w:rsidR="002F7E15" w:rsidRPr="007A5FAC">
        <w:t xml:space="preserve">zasnovani na primeni termoplastičnih materijala, </w:t>
      </w:r>
      <w:r w:rsidR="006C2227" w:rsidRPr="007A5FAC">
        <w:t xml:space="preserve">koji </w:t>
      </w:r>
      <w:r w:rsidR="002F7E15" w:rsidRPr="007A5FAC">
        <w:t xml:space="preserve">takođe </w:t>
      </w:r>
      <w:r w:rsidR="006C2227" w:rsidRPr="007A5FAC">
        <w:t xml:space="preserve">ne zahtevaju </w:t>
      </w:r>
      <w:r w:rsidR="00CE686B" w:rsidRPr="007A5FAC">
        <w:t xml:space="preserve">hemijsko </w:t>
      </w:r>
      <w:r w:rsidR="006C2227" w:rsidRPr="007A5FAC">
        <w:t>procesiranje osvetljenih ploča,</w:t>
      </w:r>
      <w:r w:rsidRPr="007A5FAC">
        <w:t xml:space="preserve"> </w:t>
      </w:r>
      <w:r w:rsidR="00CE686B" w:rsidRPr="007A5FAC">
        <w:t>(</w:t>
      </w:r>
      <w:r w:rsidRPr="007A5FAC">
        <w:t>Agfa</w:t>
      </w:r>
      <w:r w:rsidR="00CE686B" w:rsidRPr="007A5FAC">
        <w:t>-Azura,</w:t>
      </w:r>
      <w:r w:rsidRPr="007A5FAC">
        <w:t xml:space="preserve"> </w:t>
      </w:r>
      <w:r w:rsidR="00CE686B" w:rsidRPr="007A5FAC">
        <w:t xml:space="preserve">Presstek-A.B. DICK-Futura </w:t>
      </w:r>
      <w:r w:rsidRPr="007A5FAC">
        <w:t>i Kodak Polychrome Grafics</w:t>
      </w:r>
      <w:r w:rsidR="00CE686B" w:rsidRPr="007A5FAC">
        <w:t>)</w:t>
      </w:r>
      <w:r w:rsidRPr="007A5FAC">
        <w:t>. Prosečna tiražnost ploča koje se koriste u ovakvim sistemima iznosi oko 75000 otisaka.</w:t>
      </w:r>
    </w:p>
    <w:p w:rsidR="006B2D03" w:rsidRDefault="006B2D03" w:rsidP="007A5FAC">
      <w:r w:rsidRPr="007A5FAC">
        <w:t>Ploče Azura zasnivaju se na termo</w:t>
      </w:r>
      <w:r w:rsidR="00F63C7B" w:rsidRPr="007A5FAC">
        <w:t>plastičnim polimerima</w:t>
      </w:r>
      <w:r w:rsidRPr="007A5FAC">
        <w:t xml:space="preserve">, slika </w:t>
      </w:r>
      <w:r w:rsidR="007C435D" w:rsidRPr="007A5FAC">
        <w:t>2</w:t>
      </w:r>
      <w:r w:rsidRPr="007A5FAC">
        <w:t xml:space="preserve">. Na ofset ploči su pravilno raspoređene veoma sitne </w:t>
      </w:r>
      <w:r w:rsidR="00F63C7B" w:rsidRPr="007A5FAC">
        <w:t xml:space="preserve">polimerne </w:t>
      </w:r>
      <w:r w:rsidRPr="007A5FAC">
        <w:t xml:space="preserve">čestice, </w:t>
      </w:r>
      <w:r w:rsidR="00F63C7B" w:rsidRPr="007A5FAC">
        <w:t>dispergovane u vezivu na osnovi od lateksa. Ovo vezivo ih spaja sa osnovom dovoljno čvrsto da omogući slobodnu manipulaciju pločama, ali je, sa druge strane, relativno lako rastvorljivo u vodi.</w:t>
      </w:r>
      <w:r w:rsidRPr="007A5FAC">
        <w:t xml:space="preserve"> Po dejstvom termalnog lasera velike snage dolazi do topljenja </w:t>
      </w:r>
      <w:r w:rsidR="00F63C7B" w:rsidRPr="007A5FAC">
        <w:t xml:space="preserve">čestica </w:t>
      </w:r>
      <w:r w:rsidRPr="007A5FAC">
        <w:t xml:space="preserve">i lepljenja za podlogu, </w:t>
      </w:r>
      <w:r w:rsidR="00F63C7B" w:rsidRPr="007A5FAC">
        <w:t>čime se formiraju veoma otporni i veoma precizno definisani štampajući elementi.</w:t>
      </w:r>
      <w:r w:rsidRPr="007A5FAC">
        <w:t xml:space="preserve"> Razvijanje se sastoji u uklanjanju nerastopljenih če</w:t>
      </w:r>
      <w:r w:rsidR="005D4F4B" w:rsidRPr="007A5FAC">
        <w:t>stica jednostavnim ispiranjem [</w:t>
      </w:r>
      <w:r w:rsidR="00611D2C" w:rsidRPr="007A5FAC">
        <w:t>2</w:t>
      </w:r>
      <w:r w:rsidR="005D4F4B" w:rsidRPr="007A5FAC">
        <w:t>].</w:t>
      </w:r>
      <w:r w:rsidRPr="007A5FAC">
        <w:t xml:space="preserve"> </w:t>
      </w:r>
    </w:p>
    <w:p w:rsidR="002A7BB5" w:rsidRDefault="002A7BB5" w:rsidP="007A5FAC"/>
    <w:p w:rsidR="002A7BB5" w:rsidRPr="007A5FAC" w:rsidRDefault="002A7BB5" w:rsidP="007A5FAC">
      <w:r w:rsidRPr="006A4027">
        <w:t xml:space="preserve">Slika </w:t>
      </w:r>
      <w:r>
        <w:t>2 –</w:t>
      </w:r>
      <w:r w:rsidRPr="006A4027">
        <w:t xml:space="preserve"> Termoplastične čestice od kojih se formiraju štampajući elementi</w:t>
      </w:r>
    </w:p>
    <w:p w:rsidR="002F7E15" w:rsidRPr="007A5FAC" w:rsidRDefault="002F7E15" w:rsidP="007A5FAC">
      <w:r w:rsidRPr="007A5FAC">
        <w:t xml:space="preserve">Uvođenje u grafičku industriju ofset ploča koje se ne moraju razvijati na klasičan način postalo je veoma značajno sa pojavom štamparskih mašinama koje osim štamapanja obavljaju </w:t>
      </w:r>
      <w:r w:rsidRPr="007A5FAC">
        <w:lastRenderedPageBreak/>
        <w:t>i funkciju osvetljavanja i razvijanja štamparske forme (Direct Imaging – DI ili Computer to machine – CTM).</w:t>
      </w:r>
    </w:p>
    <w:p w:rsidR="002E266B" w:rsidRPr="007A5FAC" w:rsidRDefault="002E266B" w:rsidP="007A5FAC">
      <w:r w:rsidRPr="007A5FAC">
        <w:t>Osim novih, skraćenih postupaka izrade termalnih formi, na tržištu se javljaju i bitno unapređene ofset ploče namenjene klasičnoj hemijskoj obradi pomoću razvijača. Tako je</w:t>
      </w:r>
      <w:r w:rsidR="0011389D" w:rsidRPr="007A5FAC">
        <w:t>,</w:t>
      </w:r>
      <w:r w:rsidRPr="007A5FAC">
        <w:t xml:space="preserve"> na primer</w:t>
      </w:r>
      <w:r w:rsidR="0011389D" w:rsidRPr="007A5FAC">
        <w:t>,</w:t>
      </w:r>
      <w:r w:rsidRPr="007A5FAC">
        <w:t xml:space="preserve"> firma FUJI ponudila ofset ploče serije Brillia, koje pokazuju izuzetnu otpornost na hemijske i mehaničke uticaje. Ove ploče su toliko otporne da se bez naknadne termičke obrade mogu koristiti za štampanje agresivnim UV i hibridnim bojama i lakovima. Do skora nije bilo ploča koje su se u ove svrhe koristile bez naknadne termičke i hemijske obrade. </w:t>
      </w:r>
    </w:p>
    <w:p w:rsidR="00651484" w:rsidRPr="007A5FAC" w:rsidRDefault="007A5FAC" w:rsidP="007A5FAC">
      <w:r w:rsidRPr="007A5FAC">
        <w:t>2. Nove tehnologije rastriranja</w:t>
      </w:r>
    </w:p>
    <w:p w:rsidR="0077683C" w:rsidRPr="007A5FAC" w:rsidRDefault="00AC6063" w:rsidP="007A5FAC">
      <w:r w:rsidRPr="007A5FAC">
        <w:t>Osim noviteta u pogledu materijala i načina obrade ofset ploča, uvode se i nove metode rastriranja.</w:t>
      </w:r>
      <w:r w:rsidR="001215C1" w:rsidRPr="007A5FAC">
        <w:t xml:space="preserve"> Klasičan amplitudno modulisani raster u srednjim tonovima koji se dobijaju preklapanjem tri ili četiri boje formira rastersku rozetu koja je pri linijaturama manjim od 175 lpi vidljiva golim okom. </w:t>
      </w:r>
    </w:p>
    <w:p w:rsidR="002E266B" w:rsidRPr="007A5FAC" w:rsidRDefault="00E71E84" w:rsidP="007A5FAC">
      <w:r w:rsidRPr="007A5FAC">
        <w:t>Danas svi značajni proizvođači CTP sistema, pored već viđenih frekventno modulisanih rastera druge generacije (Creo-Stacatto, Agfa-Cristal, Screen-Harlequine Dispersed screening), nude i hibridne tehnologije koje objedinjavaju prednosti amplitudno (AM) i frekventno modulisanih rastera (Agfa-Sublima, Screen-Specta).</w:t>
      </w:r>
    </w:p>
    <w:p w:rsidR="00E71E84" w:rsidRPr="007A5FAC" w:rsidRDefault="001215C1" w:rsidP="007A5FAC">
      <w:r w:rsidRPr="007A5FAC">
        <w:t>Hibridni raster predstavlja k</w:t>
      </w:r>
      <w:r w:rsidR="00E75C84" w:rsidRPr="007A5FAC">
        <w:t>v</w:t>
      </w:r>
      <w:r w:rsidRPr="007A5FAC">
        <w:t xml:space="preserve">alitativan skok za štamparije, koje bez ikakvih sopstvenih ulaganja, mogu značajno da poprave kvalitet otiska. Hibridnim rasterom izbegava se pojava rasterske rozete, Moare efekta, i umanjuje se efekat nedovoljne tačnosti registra boja. </w:t>
      </w:r>
      <w:r w:rsidR="00D96606" w:rsidRPr="007A5FAC">
        <w:t xml:space="preserve">Sa druge strane poboljšava se reprodukcija finijh detalja, dobijaju finiji tonski prelazi i ujednačenije uniformno obojene površine. </w:t>
      </w:r>
      <w:r w:rsidR="005D4F4B" w:rsidRPr="007A5FAC">
        <w:t>[</w:t>
      </w:r>
      <w:r w:rsidR="00CB0B10" w:rsidRPr="007A5FAC">
        <w:t>3,</w:t>
      </w:r>
      <w:r w:rsidR="00611D2C" w:rsidRPr="007A5FAC">
        <w:t>4</w:t>
      </w:r>
      <w:r w:rsidR="00CB0B10" w:rsidRPr="007A5FAC">
        <w:t>,5</w:t>
      </w:r>
      <w:r w:rsidR="005D4F4B" w:rsidRPr="007A5FAC">
        <w:t>]</w:t>
      </w:r>
    </w:p>
    <w:p w:rsidR="00651484" w:rsidRPr="007A5FAC" w:rsidRDefault="007A5FAC" w:rsidP="007A5FAC">
      <w:r w:rsidRPr="007A5FAC">
        <w:t>3. Radno okruženje ctp sistema, workflow</w:t>
      </w:r>
    </w:p>
    <w:p w:rsidR="006E029D" w:rsidRPr="007A5FAC" w:rsidRDefault="00651484" w:rsidP="007A5FAC">
      <w:r w:rsidRPr="007A5FAC">
        <w:t xml:space="preserve">Postupak izrade štamparskih formi za ofset je postigao mnogo veći stepen automatizacije od ostalih </w:t>
      </w:r>
      <w:r w:rsidR="0077683C" w:rsidRPr="007A5FAC">
        <w:t>delova grafičkog proizvodnog pr</w:t>
      </w:r>
      <w:r w:rsidRPr="007A5FAC">
        <w:t xml:space="preserve">ocesa. </w:t>
      </w:r>
      <w:r w:rsidR="00E75EFF" w:rsidRPr="007A5FAC">
        <w:t xml:space="preserve">Uređaj za osvetljavanje može biti samostalan, bez interakcije sa ostalim delovima proizvodnog lanca, sa izuzetkom raster imidž procesora. Međutim, </w:t>
      </w:r>
      <w:r w:rsidR="0077683C" w:rsidRPr="007A5FAC">
        <w:t xml:space="preserve">on </w:t>
      </w:r>
      <w:r w:rsidR="00E75EFF" w:rsidRPr="007A5FAC">
        <w:t>može biti integrisan u složen sistem za sekvencijalno obavljanje radnih zadataka (workflow). Ovakve sisteme, raz</w:t>
      </w:r>
      <w:r w:rsidR="0077683C" w:rsidRPr="007A5FAC">
        <w:t xml:space="preserve">ličitog stepena automatizacije </w:t>
      </w:r>
      <w:r w:rsidR="00E75EFF" w:rsidRPr="007A5FAC">
        <w:t xml:space="preserve">danas nude svi važniji proizvođači opreme. </w:t>
      </w:r>
      <w:r w:rsidR="006E029D" w:rsidRPr="007A5FAC">
        <w:t>Po</w:t>
      </w:r>
      <w:r w:rsidR="00E75EFF" w:rsidRPr="007A5FAC">
        <w:t>tpunom aut</w:t>
      </w:r>
      <w:r w:rsidR="006A4027" w:rsidRPr="007A5FAC">
        <w:t>o</w:t>
      </w:r>
      <w:r w:rsidR="0088684C" w:rsidRPr="007A5FAC">
        <w:t>matizacijom mog</w:t>
      </w:r>
      <w:r w:rsidR="00E75EFF" w:rsidRPr="007A5FAC">
        <w:t>uće je obuhvatiti sledeće operacije u postupku izrade štamparske forme</w:t>
      </w:r>
      <w:r w:rsidR="006A4027" w:rsidRPr="007A5FAC">
        <w:t xml:space="preserve"> [</w:t>
      </w:r>
      <w:r w:rsidR="00E9194E" w:rsidRPr="007A5FAC">
        <w:t>6</w:t>
      </w:r>
      <w:r w:rsidR="006A4027" w:rsidRPr="007A5FAC">
        <w:t>]</w:t>
      </w:r>
      <w:r w:rsidR="00E75EFF" w:rsidRPr="007A5FAC">
        <w:t>:</w:t>
      </w:r>
    </w:p>
    <w:p w:rsidR="006E029D" w:rsidRPr="007A5FAC" w:rsidRDefault="005E5032" w:rsidP="007A5FAC">
      <w:r w:rsidRPr="007A5FAC">
        <w:t xml:space="preserve">- </w:t>
      </w:r>
      <w:r w:rsidR="006E029D" w:rsidRPr="007A5FAC">
        <w:t>montažu fajlova sa pojedinačnim stranicama u štamparske tabake;</w:t>
      </w:r>
    </w:p>
    <w:p w:rsidR="006E029D" w:rsidRPr="007A5FAC" w:rsidRDefault="005E5032" w:rsidP="007A5FAC">
      <w:r w:rsidRPr="007A5FAC">
        <w:t xml:space="preserve">- </w:t>
      </w:r>
      <w:r w:rsidR="006E029D" w:rsidRPr="007A5FAC">
        <w:t>pozicioniranje tabaka na ploči;</w:t>
      </w:r>
    </w:p>
    <w:p w:rsidR="006E029D" w:rsidRPr="007A5FAC" w:rsidRDefault="005E5032" w:rsidP="007A5FAC">
      <w:r w:rsidRPr="007A5FAC">
        <w:t xml:space="preserve">- </w:t>
      </w:r>
      <w:r w:rsidR="006E029D" w:rsidRPr="007A5FAC">
        <w:t>generisanje rasterske strukture;</w:t>
      </w:r>
    </w:p>
    <w:p w:rsidR="006E029D" w:rsidRPr="007A5FAC" w:rsidRDefault="005E5032" w:rsidP="007A5FAC">
      <w:r w:rsidRPr="007A5FAC">
        <w:t xml:space="preserve">- </w:t>
      </w:r>
      <w:r w:rsidR="006E029D" w:rsidRPr="007A5FAC">
        <w:t>ulaganje ploče i skidanje zaštitnog papira;</w:t>
      </w:r>
    </w:p>
    <w:p w:rsidR="006E029D" w:rsidRPr="007A5FAC" w:rsidRDefault="005E5032" w:rsidP="007A5FAC">
      <w:r w:rsidRPr="007A5FAC">
        <w:lastRenderedPageBreak/>
        <w:t xml:space="preserve">- </w:t>
      </w:r>
      <w:r w:rsidR="006E029D" w:rsidRPr="007A5FAC">
        <w:t>izlaganje ploča sa sortiranjem, uključujući i primenu robota;</w:t>
      </w:r>
    </w:p>
    <w:p w:rsidR="006E029D" w:rsidRPr="007A5FAC" w:rsidRDefault="005E5032" w:rsidP="007A5FAC">
      <w:r w:rsidRPr="007A5FAC">
        <w:t xml:space="preserve">- </w:t>
      </w:r>
      <w:r w:rsidR="006E029D" w:rsidRPr="007A5FAC">
        <w:t>kontrola k</w:t>
      </w:r>
      <w:r w:rsidR="00E75C84" w:rsidRPr="007A5FAC">
        <w:t>v</w:t>
      </w:r>
      <w:r w:rsidR="006E029D" w:rsidRPr="007A5FAC">
        <w:t>aliteta reprodukcije, uključujući i izradu digitalnog probnog otiska.</w:t>
      </w:r>
    </w:p>
    <w:p w:rsidR="0077683C" w:rsidRPr="007A5FAC" w:rsidRDefault="00A765A7" w:rsidP="007A5FAC">
      <w:pPr>
        <w:rPr>
          <w:noProof/>
          <w:lang w:val="sr-Latn-RS" w:eastAsia="sr-Latn-RS"/>
        </w:rPr>
      </w:pPr>
      <w:r w:rsidRPr="007A5FAC">
        <w:t>Dakle, danas se može konfigurisati sistem za izradu štamparskih formi u kome je jedina uloga čoveka da, posle instalacije i puštanja sistema u rad, obezbeđuje neophodne sirovine i energiju (slika 3).</w:t>
      </w:r>
    </w:p>
    <w:p w:rsidR="00A765A7" w:rsidRPr="007A5FAC" w:rsidRDefault="00A765A7" w:rsidP="007A5FAC"/>
    <w:p w:rsidR="00A765A7" w:rsidRPr="007A5FAC" w:rsidRDefault="00A765A7" w:rsidP="007A5FAC">
      <w:r w:rsidRPr="007A5FAC">
        <w:t>Slika 3 – Visokoautomatizovani sistem</w:t>
      </w:r>
    </w:p>
    <w:p w:rsidR="00E75EFF" w:rsidRPr="007A5FAC" w:rsidRDefault="00E75EFF" w:rsidP="007A5FAC">
      <w:r w:rsidRPr="007A5FAC">
        <w:t>Međutim, tu nije kraj, integracija sistema se može pro</w:t>
      </w:r>
      <w:r w:rsidR="00E75C84" w:rsidRPr="007A5FAC">
        <w:t>širiti</w:t>
      </w:r>
      <w:r w:rsidRPr="007A5FAC">
        <w:t xml:space="preserve"> i na štamparske i doradne mašine, a da ne govorimo o knjigovodstvu, planiranju i praćenju proizvodnje.</w:t>
      </w:r>
    </w:p>
    <w:p w:rsidR="00E75EFF" w:rsidRPr="007A5FAC" w:rsidRDefault="00E75EFF" w:rsidP="007A5FAC">
      <w:r w:rsidRPr="007A5FAC">
        <w:t>Automatizacija je posebno značajna u svetlu promene strukture poslova u pogledu očekivanih rokova izrade. Istraživanja američkih analitičara pokazuju da će naručioci grafičkih proizvoda biti sve zahtevniji, i da će rok za sve veći broj poslova biti kraći od jednog dana</w:t>
      </w:r>
      <w:r w:rsidR="00611D2C" w:rsidRPr="007A5FAC">
        <w:t xml:space="preserve"> (tabela </w:t>
      </w:r>
      <w:r w:rsidR="005E5032" w:rsidRPr="007A5FAC">
        <w:t>1</w:t>
      </w:r>
      <w:r w:rsidR="00611D2C" w:rsidRPr="007A5FAC">
        <w:t>)</w:t>
      </w:r>
      <w:r w:rsidRPr="007A5FAC">
        <w:t>.</w:t>
      </w:r>
      <w:r w:rsidR="00CD19BF" w:rsidRPr="007A5FAC">
        <w:t xml:space="preserve"> [</w:t>
      </w:r>
      <w:r w:rsidR="00E9194E" w:rsidRPr="007A5FAC">
        <w:t>7</w:t>
      </w:r>
      <w:r w:rsidR="00CD19BF" w:rsidRPr="007A5FAC">
        <w:t>]</w:t>
      </w:r>
    </w:p>
    <w:p w:rsidR="005E5032" w:rsidRPr="007A5FAC" w:rsidRDefault="005E5032" w:rsidP="007A5FAC">
      <w:r w:rsidRPr="007A5FAC">
        <w:t>Tabela 1 – Struktura poslova prema očekivanom roku isporuke, u procentima od ukupnog broja naloga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1418"/>
        <w:gridCol w:w="1134"/>
        <w:gridCol w:w="2126"/>
      </w:tblGrid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Rok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1990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2000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2020</w:t>
            </w:r>
          </w:p>
        </w:tc>
      </w:tr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Danas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3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7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12</w:t>
            </w:r>
          </w:p>
        </w:tc>
      </w:tr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Sutra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12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14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19</w:t>
            </w:r>
          </w:p>
        </w:tc>
      </w:tr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Za nedelju dana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21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18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13</w:t>
            </w:r>
          </w:p>
        </w:tc>
      </w:tr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Dve do tri nedelje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18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15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7</w:t>
            </w:r>
          </w:p>
        </w:tc>
      </w:tr>
      <w:tr w:rsidR="005E5032" w:rsidRPr="007A5FAC" w:rsidTr="002A7BB5">
        <w:tc>
          <w:tcPr>
            <w:tcW w:w="2268" w:type="dxa"/>
          </w:tcPr>
          <w:p w:rsidR="005E5032" w:rsidRPr="007A5FAC" w:rsidRDefault="005E5032" w:rsidP="002A7BB5">
            <w:r w:rsidRPr="007A5FAC">
              <w:t>Dugoročni poslovi</w:t>
            </w:r>
          </w:p>
        </w:tc>
        <w:tc>
          <w:tcPr>
            <w:tcW w:w="1418" w:type="dxa"/>
          </w:tcPr>
          <w:p w:rsidR="005E5032" w:rsidRPr="007A5FAC" w:rsidRDefault="005E5032" w:rsidP="002A7BB5">
            <w:r w:rsidRPr="007A5FAC">
              <w:t>46</w:t>
            </w:r>
          </w:p>
        </w:tc>
        <w:tc>
          <w:tcPr>
            <w:tcW w:w="1134" w:type="dxa"/>
          </w:tcPr>
          <w:p w:rsidR="005E5032" w:rsidRPr="007A5FAC" w:rsidRDefault="005E5032" w:rsidP="002A7BB5">
            <w:r w:rsidRPr="007A5FAC">
              <w:t>54</w:t>
            </w:r>
          </w:p>
        </w:tc>
        <w:tc>
          <w:tcPr>
            <w:tcW w:w="2126" w:type="dxa"/>
          </w:tcPr>
          <w:p w:rsidR="005E5032" w:rsidRPr="007A5FAC" w:rsidRDefault="005E5032" w:rsidP="002A7BB5">
            <w:r w:rsidRPr="007A5FAC">
              <w:t>49</w:t>
            </w:r>
          </w:p>
        </w:tc>
      </w:tr>
    </w:tbl>
    <w:p w:rsidR="00BD1AC3" w:rsidRPr="007A5FAC" w:rsidRDefault="007A5FAC" w:rsidP="007A5FAC">
      <w:r w:rsidRPr="007A5FAC">
        <w:t xml:space="preserve">4. Probni otisak i kontrola kvaliteta </w:t>
      </w:r>
    </w:p>
    <w:p w:rsidR="006F7624" w:rsidRPr="007A5FAC" w:rsidRDefault="00E729CE" w:rsidP="007A5FAC">
      <w:r w:rsidRPr="007A5FAC">
        <w:t>Sa pojavom CTP sistema pojavila se i potreba za proverom motiva na štamparskoj formi</w:t>
      </w:r>
      <w:r w:rsidR="00A7765E" w:rsidRPr="007A5FAC">
        <w:t>, pre nego što otpočne štampanje. Za vreme primene filma, izrađivali su se analogni probni otisci, koji su štamparima davali sigurnost u radu. Sa uvođenjem CTP sistema u proizvodnju, postalo je veoma značajno načiniti probni otisak na isti način kako se osvetljava i šamparska forma –digitalno</w:t>
      </w:r>
      <w:r w:rsidR="006F7624" w:rsidRPr="007A5FAC">
        <w:t>, i to iz iste datoteke dobijene ripovanjem, koja se upotreblljava za osvetljavanje ploča</w:t>
      </w:r>
      <w:r w:rsidR="00A7765E" w:rsidRPr="007A5FAC">
        <w:t xml:space="preserve">. </w:t>
      </w:r>
    </w:p>
    <w:p w:rsidR="00A7765E" w:rsidRPr="007A5FAC" w:rsidRDefault="006F7624" w:rsidP="007A5FAC">
      <w:r w:rsidRPr="007A5FAC">
        <w:t xml:space="preserve">Za kontrolisanje tonskih vrednosti rastera na štamparskim formama koriste se novi merni uređaji – čitači ofset ploča (plate reader). Ovi uređaji, za razliku od denzitometara koji rade na principu merenja odnosa upadne i propuštene svtlosti, digitalno snimaju detalj rasterske strukture sa velikom rezolucijom. Ova digitalna fotografija se analizira pomoću softvera koji je u sastavu </w:t>
      </w:r>
      <w:r w:rsidR="005D2191" w:rsidRPr="007A5FAC">
        <w:t xml:space="preserve">mernog uređaja. </w:t>
      </w:r>
    </w:p>
    <w:p w:rsidR="001F00FC" w:rsidRPr="007A5FAC" w:rsidRDefault="00BD1AC3" w:rsidP="007A5FAC">
      <w:r w:rsidRPr="007A5FAC">
        <w:t>5</w:t>
      </w:r>
      <w:r w:rsidR="007A5FAC" w:rsidRPr="007A5FAC">
        <w:t>. Zaključak</w:t>
      </w:r>
    </w:p>
    <w:p w:rsidR="001F00FC" w:rsidRPr="007A5FAC" w:rsidRDefault="001F00FC" w:rsidP="007A5FAC">
      <w:r w:rsidRPr="007A5FAC">
        <w:lastRenderedPageBreak/>
        <w:t>CTP sistemi za izradu štamparskih formi osvojili su sve oblasti ofset štampe i ubrzano potiskuju tehnologiju izrade zasnovanu na filmu. U sledećem periodu na tržištu će se voditi borba za prevlast između štamparija koje koriste ofset ploče, i digitalnih štamparija. Razvoj novih materijala i postupaka, kao i velike investicije obezbediće primat štampe zasnovane na CTP formama u narednoj deceniji, a postojanje na tržištu i znatno duže.</w:t>
      </w:r>
    </w:p>
    <w:p w:rsidR="001F00FC" w:rsidRPr="007A5FAC" w:rsidRDefault="007A5FAC" w:rsidP="007A5FAC">
      <w:r w:rsidRPr="007A5FAC">
        <w:t>Reference</w:t>
      </w:r>
    </w:p>
    <w:p w:rsidR="00CB0B10" w:rsidRPr="007A5FAC" w:rsidRDefault="00CB0B10" w:rsidP="007A5FAC">
      <w:pPr>
        <w:rPr>
          <w:szCs w:val="20"/>
        </w:rPr>
      </w:pPr>
      <w:r w:rsidRPr="007A5FAC">
        <w:rPr>
          <w:szCs w:val="20"/>
        </w:rPr>
        <w:t>[1] Helmut Kipphan, Handbuch der Printmedien, Springer-Heidelberg, Berlin, 2000</w:t>
      </w:r>
    </w:p>
    <w:p w:rsidR="001F00FC" w:rsidRPr="007A5FAC" w:rsidRDefault="005D4F4B" w:rsidP="007A5FAC">
      <w:pPr>
        <w:rPr>
          <w:szCs w:val="20"/>
        </w:rPr>
      </w:pPr>
      <w:r w:rsidRPr="007A5FAC">
        <w:rPr>
          <w:szCs w:val="20"/>
        </w:rPr>
        <w:t>[</w:t>
      </w:r>
      <w:r w:rsidR="00CB0B10" w:rsidRPr="007A5FAC">
        <w:rPr>
          <w:szCs w:val="20"/>
        </w:rPr>
        <w:t>2</w:t>
      </w:r>
      <w:r w:rsidRPr="007A5FAC">
        <w:rPr>
          <w:szCs w:val="20"/>
        </w:rPr>
        <w:t xml:space="preserve">] PRINT 21 Online –Vol. 05 Issue 13, </w:t>
      </w:r>
      <w:hyperlink r:id="rId9" w:history="1">
        <w:r w:rsidRPr="007A5FAC">
          <w:rPr>
            <w:rStyle w:val="Hyperlink"/>
            <w:color w:val="auto"/>
            <w:szCs w:val="20"/>
            <w:u w:val="none"/>
          </w:rPr>
          <w:t>http://www.print21online.com/index.cfm?pageid=feature&amp;id=12&amp;archive=243</w:t>
        </w:r>
      </w:hyperlink>
    </w:p>
    <w:p w:rsidR="005D4F4B" w:rsidRPr="007A5FAC" w:rsidRDefault="005D4F4B" w:rsidP="007A5FAC">
      <w:pPr>
        <w:rPr>
          <w:szCs w:val="20"/>
        </w:rPr>
      </w:pPr>
      <w:r w:rsidRPr="007A5FAC">
        <w:rPr>
          <w:szCs w:val="20"/>
        </w:rPr>
        <w:t>[</w:t>
      </w:r>
      <w:r w:rsidR="00CB0B10" w:rsidRPr="007A5FAC">
        <w:rPr>
          <w:szCs w:val="20"/>
        </w:rPr>
        <w:t>3</w:t>
      </w:r>
      <w:r w:rsidRPr="007A5FAC">
        <w:rPr>
          <w:szCs w:val="20"/>
        </w:rPr>
        <w:t xml:space="preserve">] Agfa screening technology – Improving the Power of Print, </w:t>
      </w:r>
      <w:hyperlink r:id="rId10" w:history="1">
        <w:r w:rsidRPr="007A5FAC">
          <w:rPr>
            <w:rStyle w:val="Hyperlink"/>
            <w:color w:val="auto"/>
            <w:szCs w:val="20"/>
            <w:u w:val="none"/>
          </w:rPr>
          <w:t>http://news.agfa.com/corporate/news.nsf/0/</w:t>
        </w:r>
      </w:hyperlink>
      <w:r w:rsidRPr="007A5FAC">
        <w:rPr>
          <w:szCs w:val="20"/>
        </w:rPr>
        <w:t>)</w:t>
      </w:r>
    </w:p>
    <w:p w:rsidR="005D4F4B" w:rsidRPr="007A5FAC" w:rsidRDefault="005D4F4B" w:rsidP="007A5FAC">
      <w:pPr>
        <w:rPr>
          <w:szCs w:val="20"/>
        </w:rPr>
      </w:pPr>
      <w:r w:rsidRPr="007A5FAC">
        <w:rPr>
          <w:szCs w:val="20"/>
        </w:rPr>
        <w:t>[</w:t>
      </w:r>
      <w:r w:rsidR="00CB0B10" w:rsidRPr="007A5FAC">
        <w:rPr>
          <w:szCs w:val="20"/>
        </w:rPr>
        <w:t>4</w:t>
      </w:r>
      <w:r w:rsidRPr="007A5FAC">
        <w:rPr>
          <w:szCs w:val="20"/>
        </w:rPr>
        <w:t xml:space="preserve">] </w:t>
      </w:r>
      <w:r w:rsidRPr="007A5FAC">
        <w:rPr>
          <w:bCs/>
          <w:szCs w:val="20"/>
        </w:rPr>
        <w:t xml:space="preserve">HQ RIP components, </w:t>
      </w:r>
      <w:hyperlink r:id="rId11" w:history="1">
        <w:r w:rsidRPr="007A5FAC">
          <w:rPr>
            <w:rStyle w:val="Hyperlink"/>
            <w:color w:val="auto"/>
            <w:szCs w:val="20"/>
            <w:u w:val="none"/>
          </w:rPr>
          <w:t>http://66.102.9.104/search?q=cache:2tvS57tWh-IJ:www.screen.co.jp/ga_dtp/product_e/HQ-510RIP/202-151.pdf3</w:t>
        </w:r>
      </w:hyperlink>
    </w:p>
    <w:p w:rsidR="005D4F4B" w:rsidRPr="007A5FAC" w:rsidRDefault="005D4F4B" w:rsidP="007A5FAC">
      <w:pPr>
        <w:rPr>
          <w:szCs w:val="20"/>
        </w:rPr>
      </w:pPr>
      <w:r w:rsidRPr="007A5FAC">
        <w:rPr>
          <w:szCs w:val="20"/>
        </w:rPr>
        <w:t>[</w:t>
      </w:r>
      <w:r w:rsidR="00CB0B10" w:rsidRPr="007A5FAC">
        <w:rPr>
          <w:szCs w:val="20"/>
        </w:rPr>
        <w:t>5</w:t>
      </w:r>
      <w:r w:rsidRPr="007A5FAC">
        <w:rPr>
          <w:szCs w:val="20"/>
        </w:rPr>
        <w:t>] Spekta Technical Guide, Screen, Japan, 2003.</w:t>
      </w:r>
    </w:p>
    <w:p w:rsidR="006A4027" w:rsidRPr="007A5FAC" w:rsidRDefault="006A4027" w:rsidP="007A5FAC">
      <w:pPr>
        <w:rPr>
          <w:szCs w:val="20"/>
        </w:rPr>
      </w:pPr>
      <w:r w:rsidRPr="007A5FAC">
        <w:rPr>
          <w:szCs w:val="20"/>
        </w:rPr>
        <w:t>[</w:t>
      </w:r>
      <w:r w:rsidR="00E9194E" w:rsidRPr="007A5FAC">
        <w:rPr>
          <w:szCs w:val="20"/>
        </w:rPr>
        <w:t>6</w:t>
      </w:r>
      <w:r w:rsidRPr="007A5FAC">
        <w:rPr>
          <w:szCs w:val="20"/>
        </w:rPr>
        <w:t>] Screen Trueflow 3, product katalogue, Dainiponn Screen, 2004, http://www.screeneurope.com/files_content/brochures/Trueflow3.pdf</w:t>
      </w:r>
    </w:p>
    <w:p w:rsidR="00CD19BF" w:rsidRPr="007A5FAC" w:rsidRDefault="00CD19BF" w:rsidP="007A5FAC">
      <w:pPr>
        <w:rPr>
          <w:szCs w:val="20"/>
        </w:rPr>
      </w:pPr>
      <w:r w:rsidRPr="007A5FAC">
        <w:rPr>
          <w:szCs w:val="20"/>
        </w:rPr>
        <w:t>[</w:t>
      </w:r>
      <w:r w:rsidR="00E9194E" w:rsidRPr="007A5FAC">
        <w:rPr>
          <w:szCs w:val="20"/>
        </w:rPr>
        <w:t>7</w:t>
      </w:r>
      <w:r w:rsidRPr="007A5FAC">
        <w:rPr>
          <w:szCs w:val="20"/>
        </w:rPr>
        <w:t xml:space="preserve">] D. Painter, Talking about tommorow, Print solution magazine, 2005, </w:t>
      </w:r>
      <w:hyperlink r:id="rId12" w:history="1">
        <w:r w:rsidR="00FC7176" w:rsidRPr="007A5FAC">
          <w:rPr>
            <w:rStyle w:val="Hyperlink"/>
            <w:szCs w:val="20"/>
          </w:rPr>
          <w:t>http://www.printsolutionsmag.com/contact.html</w:t>
        </w:r>
      </w:hyperlink>
    </w:p>
    <w:sectPr w:rsidR="00CD19BF" w:rsidRPr="007A5FAC" w:rsidSect="002A7BB5">
      <w:footerReference w:type="default" r:id="rId13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34" w:rsidRDefault="003E2134">
      <w:r>
        <w:separator/>
      </w:r>
    </w:p>
  </w:endnote>
  <w:endnote w:type="continuationSeparator" w:id="0">
    <w:p w:rsidR="003E2134" w:rsidRDefault="003E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5" w:rsidRDefault="002A7BB5" w:rsidP="002A7BB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A7BB5" w:rsidRDefault="002A7B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34" w:rsidRDefault="003E2134">
      <w:r>
        <w:separator/>
      </w:r>
    </w:p>
  </w:footnote>
  <w:footnote w:type="continuationSeparator" w:id="0">
    <w:p w:rsidR="003E2134" w:rsidRDefault="003E2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7555"/>
    <w:multiLevelType w:val="multilevel"/>
    <w:tmpl w:val="3E36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E264E"/>
    <w:multiLevelType w:val="hybridMultilevel"/>
    <w:tmpl w:val="A534244C"/>
    <w:lvl w:ilvl="0" w:tplc="432E88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F04B9"/>
    <w:multiLevelType w:val="multilevel"/>
    <w:tmpl w:val="C5E43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06D07"/>
    <w:multiLevelType w:val="multilevel"/>
    <w:tmpl w:val="EBB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C01E8"/>
    <w:multiLevelType w:val="multilevel"/>
    <w:tmpl w:val="9F8E9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DC5B32"/>
    <w:multiLevelType w:val="hybridMultilevel"/>
    <w:tmpl w:val="81A4ECD4"/>
    <w:lvl w:ilvl="0" w:tplc="E490EF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2C01C9"/>
    <w:multiLevelType w:val="multilevel"/>
    <w:tmpl w:val="4988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927118"/>
    <w:multiLevelType w:val="hybridMultilevel"/>
    <w:tmpl w:val="4DE835B2"/>
    <w:lvl w:ilvl="0" w:tplc="540812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2F"/>
    <w:rsid w:val="00023F97"/>
    <w:rsid w:val="000303C8"/>
    <w:rsid w:val="000654D4"/>
    <w:rsid w:val="00091B1E"/>
    <w:rsid w:val="0011389D"/>
    <w:rsid w:val="001215C1"/>
    <w:rsid w:val="0019371D"/>
    <w:rsid w:val="001A11CD"/>
    <w:rsid w:val="001F00FC"/>
    <w:rsid w:val="00222927"/>
    <w:rsid w:val="00284281"/>
    <w:rsid w:val="002A06DA"/>
    <w:rsid w:val="002A2EF5"/>
    <w:rsid w:val="002A7BB5"/>
    <w:rsid w:val="002B0470"/>
    <w:rsid w:val="002C355E"/>
    <w:rsid w:val="002E266B"/>
    <w:rsid w:val="002F7E15"/>
    <w:rsid w:val="0032310F"/>
    <w:rsid w:val="003B319A"/>
    <w:rsid w:val="003B7F45"/>
    <w:rsid w:val="003C4FB3"/>
    <w:rsid w:val="003E1EE0"/>
    <w:rsid w:val="003E2134"/>
    <w:rsid w:val="003F1B34"/>
    <w:rsid w:val="00400E44"/>
    <w:rsid w:val="004556DA"/>
    <w:rsid w:val="00455788"/>
    <w:rsid w:val="004840B6"/>
    <w:rsid w:val="00514F40"/>
    <w:rsid w:val="00545001"/>
    <w:rsid w:val="005540FA"/>
    <w:rsid w:val="00586909"/>
    <w:rsid w:val="005B1928"/>
    <w:rsid w:val="005B2DF9"/>
    <w:rsid w:val="005D2191"/>
    <w:rsid w:val="005D4F4B"/>
    <w:rsid w:val="005E5032"/>
    <w:rsid w:val="00611D2C"/>
    <w:rsid w:val="00640FCD"/>
    <w:rsid w:val="00651484"/>
    <w:rsid w:val="00666153"/>
    <w:rsid w:val="00671E0A"/>
    <w:rsid w:val="00680D99"/>
    <w:rsid w:val="006A4027"/>
    <w:rsid w:val="006B2D03"/>
    <w:rsid w:val="006C2227"/>
    <w:rsid w:val="006E029D"/>
    <w:rsid w:val="006F454E"/>
    <w:rsid w:val="006F7624"/>
    <w:rsid w:val="00721085"/>
    <w:rsid w:val="00723DDC"/>
    <w:rsid w:val="0076205E"/>
    <w:rsid w:val="0077683C"/>
    <w:rsid w:val="007A5FAC"/>
    <w:rsid w:val="007C435D"/>
    <w:rsid w:val="007E0FB1"/>
    <w:rsid w:val="00802921"/>
    <w:rsid w:val="008273CF"/>
    <w:rsid w:val="00846167"/>
    <w:rsid w:val="0086555E"/>
    <w:rsid w:val="008707EE"/>
    <w:rsid w:val="008742E1"/>
    <w:rsid w:val="00876A69"/>
    <w:rsid w:val="0088684C"/>
    <w:rsid w:val="00893D2D"/>
    <w:rsid w:val="008E222C"/>
    <w:rsid w:val="008F6DD1"/>
    <w:rsid w:val="009051CB"/>
    <w:rsid w:val="0096411C"/>
    <w:rsid w:val="00995D96"/>
    <w:rsid w:val="009A2561"/>
    <w:rsid w:val="009E621D"/>
    <w:rsid w:val="00A32956"/>
    <w:rsid w:val="00A765A7"/>
    <w:rsid w:val="00A7765E"/>
    <w:rsid w:val="00A83EA0"/>
    <w:rsid w:val="00A953C3"/>
    <w:rsid w:val="00AC6063"/>
    <w:rsid w:val="00AD306F"/>
    <w:rsid w:val="00AD6F4D"/>
    <w:rsid w:val="00AE2424"/>
    <w:rsid w:val="00AF0572"/>
    <w:rsid w:val="00B36F19"/>
    <w:rsid w:val="00B602C0"/>
    <w:rsid w:val="00B61EAC"/>
    <w:rsid w:val="00B944DC"/>
    <w:rsid w:val="00BA3355"/>
    <w:rsid w:val="00BD1AC3"/>
    <w:rsid w:val="00C82663"/>
    <w:rsid w:val="00CA1FB5"/>
    <w:rsid w:val="00CB0B10"/>
    <w:rsid w:val="00CB61F5"/>
    <w:rsid w:val="00CD1188"/>
    <w:rsid w:val="00CD19BF"/>
    <w:rsid w:val="00CE686B"/>
    <w:rsid w:val="00D21C2F"/>
    <w:rsid w:val="00D56682"/>
    <w:rsid w:val="00D96606"/>
    <w:rsid w:val="00D97BF1"/>
    <w:rsid w:val="00E66C4D"/>
    <w:rsid w:val="00E71E84"/>
    <w:rsid w:val="00E729CE"/>
    <w:rsid w:val="00E75C84"/>
    <w:rsid w:val="00E75EFF"/>
    <w:rsid w:val="00E8796F"/>
    <w:rsid w:val="00E90CA8"/>
    <w:rsid w:val="00E9194E"/>
    <w:rsid w:val="00E97455"/>
    <w:rsid w:val="00EC62DE"/>
    <w:rsid w:val="00F63C7B"/>
    <w:rsid w:val="00F847AC"/>
    <w:rsid w:val="00F91D76"/>
    <w:rsid w:val="00FB30D8"/>
    <w:rsid w:val="00FC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BB5"/>
    <w:pPr>
      <w:spacing w:line="360" w:lineRule="auto"/>
    </w:pPr>
    <w:rPr>
      <w:sz w:val="24"/>
      <w:szCs w:val="24"/>
      <w:lang w:val="sr-Latn-CS" w:eastAsia="sr-Latn-CS"/>
    </w:rPr>
  </w:style>
  <w:style w:type="paragraph" w:styleId="Heading1">
    <w:name w:val="heading 1"/>
    <w:basedOn w:val="Normal"/>
    <w:qFormat/>
    <w:rsid w:val="00D56682"/>
    <w:pPr>
      <w:spacing w:before="480" w:after="240"/>
      <w:outlineLvl w:val="0"/>
    </w:pPr>
    <w:rPr>
      <w:rFonts w:ascii="Arial" w:hAnsi="Arial"/>
      <w:b/>
      <w:bCs/>
      <w:caps/>
      <w:color w:val="000000"/>
      <w:kern w:val="36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56682"/>
    <w:pPr>
      <w:keepNext/>
      <w:keepLines/>
      <w:spacing w:before="360" w:after="120"/>
      <w:jc w:val="center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411C"/>
    <w:rPr>
      <w:color w:val="333333"/>
      <w:u w:val="single"/>
    </w:rPr>
  </w:style>
  <w:style w:type="paragraph" w:styleId="NormalWeb">
    <w:name w:val="Normal (Web)"/>
    <w:basedOn w:val="Normal"/>
    <w:rsid w:val="0096411C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0654D4"/>
    <w:rPr>
      <w:color w:val="800080"/>
      <w:u w:val="single"/>
    </w:rPr>
  </w:style>
  <w:style w:type="table" w:styleId="TableGrid">
    <w:name w:val="Table Grid"/>
    <w:basedOn w:val="TableNormal"/>
    <w:rsid w:val="00E75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E0FB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E0FB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E0FB1"/>
  </w:style>
  <w:style w:type="character" w:customStyle="1" w:styleId="HeaderChar">
    <w:name w:val="Header Char"/>
    <w:basedOn w:val="DefaultParagraphFont"/>
    <w:link w:val="Header"/>
    <w:uiPriority w:val="99"/>
    <w:rsid w:val="00A32956"/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9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56"/>
    <w:rPr>
      <w:rFonts w:ascii="Tahoma" w:hAnsi="Tahoma" w:cs="Tahoma"/>
      <w:sz w:val="16"/>
      <w:szCs w:val="16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D56682"/>
    <w:rPr>
      <w:rFonts w:ascii="Arial" w:eastAsiaTheme="majorEastAsia" w:hAnsi="Arial" w:cstheme="majorBidi"/>
      <w:b/>
      <w:bCs/>
      <w:sz w:val="22"/>
      <w:szCs w:val="26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2A7BB5"/>
    <w:rPr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BB5"/>
    <w:pPr>
      <w:spacing w:line="360" w:lineRule="auto"/>
    </w:pPr>
    <w:rPr>
      <w:sz w:val="24"/>
      <w:szCs w:val="24"/>
      <w:lang w:val="sr-Latn-CS" w:eastAsia="sr-Latn-CS"/>
    </w:rPr>
  </w:style>
  <w:style w:type="paragraph" w:styleId="Heading1">
    <w:name w:val="heading 1"/>
    <w:basedOn w:val="Normal"/>
    <w:qFormat/>
    <w:rsid w:val="00D56682"/>
    <w:pPr>
      <w:spacing w:before="480" w:after="240"/>
      <w:outlineLvl w:val="0"/>
    </w:pPr>
    <w:rPr>
      <w:rFonts w:ascii="Arial" w:hAnsi="Arial"/>
      <w:b/>
      <w:bCs/>
      <w:caps/>
      <w:color w:val="000000"/>
      <w:kern w:val="36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56682"/>
    <w:pPr>
      <w:keepNext/>
      <w:keepLines/>
      <w:spacing w:before="360" w:after="120"/>
      <w:jc w:val="center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411C"/>
    <w:rPr>
      <w:color w:val="333333"/>
      <w:u w:val="single"/>
    </w:rPr>
  </w:style>
  <w:style w:type="paragraph" w:styleId="NormalWeb">
    <w:name w:val="Normal (Web)"/>
    <w:basedOn w:val="Normal"/>
    <w:rsid w:val="0096411C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0654D4"/>
    <w:rPr>
      <w:color w:val="800080"/>
      <w:u w:val="single"/>
    </w:rPr>
  </w:style>
  <w:style w:type="table" w:styleId="TableGrid">
    <w:name w:val="Table Grid"/>
    <w:basedOn w:val="TableNormal"/>
    <w:rsid w:val="00E75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E0FB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E0FB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E0FB1"/>
  </w:style>
  <w:style w:type="character" w:customStyle="1" w:styleId="HeaderChar">
    <w:name w:val="Header Char"/>
    <w:basedOn w:val="DefaultParagraphFont"/>
    <w:link w:val="Header"/>
    <w:uiPriority w:val="99"/>
    <w:rsid w:val="00A32956"/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9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56"/>
    <w:rPr>
      <w:rFonts w:ascii="Tahoma" w:hAnsi="Tahoma" w:cs="Tahoma"/>
      <w:sz w:val="16"/>
      <w:szCs w:val="16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D56682"/>
    <w:rPr>
      <w:rFonts w:ascii="Arial" w:eastAsiaTheme="majorEastAsia" w:hAnsi="Arial" w:cstheme="majorBidi"/>
      <w:b/>
      <w:bCs/>
      <w:sz w:val="22"/>
      <w:szCs w:val="26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2A7BB5"/>
    <w:rPr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intsolutionsmag.com/contac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66.102.9.104/search?q=cache:2tvS57tWh-IJ:www.screen.co.jp/ga_dtp/product_e/HQ-510RIP/202-151.pdf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ews.agfa.com/corporate/news.nsf/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int21online.com/index.cfm?pageid=feature&amp;id=12&amp;archive=24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A2AC-0FE2-4D50-970A-C0E707A4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Pravci razvoja grafičke industrije na početku XXI veka</vt:lpstr>
    </vt:vector>
  </TitlesOfParts>
  <Company>private</Company>
  <LinksUpToDate>false</LinksUpToDate>
  <CharactersWithSpaces>10867</CharactersWithSpaces>
  <SharedDoc>false</SharedDoc>
  <HLinks>
    <vt:vector size="24" baseType="variant">
      <vt:variant>
        <vt:i4>4325398</vt:i4>
      </vt:variant>
      <vt:variant>
        <vt:i4>9</vt:i4>
      </vt:variant>
      <vt:variant>
        <vt:i4>0</vt:i4>
      </vt:variant>
      <vt:variant>
        <vt:i4>5</vt:i4>
      </vt:variant>
      <vt:variant>
        <vt:lpwstr>http://www.printsolutionsmag.com/contact.html</vt:lpwstr>
      </vt:variant>
      <vt:variant>
        <vt:lpwstr/>
      </vt:variant>
      <vt:variant>
        <vt:i4>4194382</vt:i4>
      </vt:variant>
      <vt:variant>
        <vt:i4>6</vt:i4>
      </vt:variant>
      <vt:variant>
        <vt:i4>0</vt:i4>
      </vt:variant>
      <vt:variant>
        <vt:i4>5</vt:i4>
      </vt:variant>
      <vt:variant>
        <vt:lpwstr>http://66.102.9.104/search?q=cache:2tvS57tWh-IJ:www.screen.co.jp/ga_dtp/product_e/HQ-510RIP/202-151.pdf3</vt:lpwstr>
      </vt:variant>
      <vt:variant>
        <vt:lpwstr/>
      </vt:variant>
      <vt:variant>
        <vt:i4>2752622</vt:i4>
      </vt:variant>
      <vt:variant>
        <vt:i4>3</vt:i4>
      </vt:variant>
      <vt:variant>
        <vt:i4>0</vt:i4>
      </vt:variant>
      <vt:variant>
        <vt:i4>5</vt:i4>
      </vt:variant>
      <vt:variant>
        <vt:lpwstr>http://news.agfa.com/corporate/news.nsf/0/</vt:lpwstr>
      </vt:variant>
      <vt:variant>
        <vt:lpwstr/>
      </vt:variant>
      <vt:variant>
        <vt:i4>7340076</vt:i4>
      </vt:variant>
      <vt:variant>
        <vt:i4>0</vt:i4>
      </vt:variant>
      <vt:variant>
        <vt:i4>0</vt:i4>
      </vt:variant>
      <vt:variant>
        <vt:i4>5</vt:i4>
      </vt:variant>
      <vt:variant>
        <vt:lpwstr>http://www.print21online.com/index.cfm?pageid=feature&amp;id=12&amp;archive=243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Pravci razvoja grafičke industrije na početku XXI veka</dc:title>
  <dc:creator>peca</dc:creator>
  <cp:lastModifiedBy>pc2012</cp:lastModifiedBy>
  <cp:revision>4</cp:revision>
  <cp:lastPrinted>2005-06-02T07:22:00Z</cp:lastPrinted>
  <dcterms:created xsi:type="dcterms:W3CDTF">2014-03-13T18:39:00Z</dcterms:created>
  <dcterms:modified xsi:type="dcterms:W3CDTF">2014-03-14T04:27:00Z</dcterms:modified>
</cp:coreProperties>
</file>